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spacing w:before="0" w:after="0" w:line="276" w:lineRule="auto"/>
        <w:shd w:val="clear" w:color="auto" w:fill="auto"/>
        <w:widowControl/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br/>
        <w:t xml:space="preserve">Резюме проекта </w:t>
      </w:r>
      <w:r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  <w:rtl w:val="false"/>
        </w:rPr>
        <w:br/>
      </w:r>
      <w:r>
        <w:rPr>
          <w:rFonts w:ascii="Times New Roman" w:hAnsi="Times New Roman" w:cs="Times New Roman" w:eastAsia="Times New Roman"/>
          <w:b/>
          <w:i w:val="0"/>
          <w:smallCaps w:val="0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«Аптекари будущего»</w:t>
      </w:r>
      <w:r>
        <w:rPr>
          <w:rFonts w:ascii="Times New Roman" w:hAnsi="Times New Roman" w:cs="Times New Roman" w:eastAsia="Times New Roman"/>
          <w:b w:val="0"/>
          <w:i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  <w:rtl w:val="false"/>
        </w:rPr>
        <w:br/>
      </w:r>
      <w:r/>
    </w:p>
    <w:tbl>
      <w:tblPr>
        <w:tblStyle w:val="874"/>
        <w:tblW w:w="96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7370"/>
        <w:tblGridChange w:id="0">
          <w:tblGrid>
            <w:gridCol w:w="2267"/>
            <w:gridCol w:w="7370"/>
          </w:tblGrid>
        </w:tblGridChange>
      </w:tblGrid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Пояснительная записка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Фармацевтика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 динамично развивающаяся отрасль. В Пермском крае находится опорный вуз, готовящий специалистов фармацевтического профиля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для предприятий Пермского края и Приволжского федерального округа.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 Пермская государственная фармацевтическая академия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 занимает лидирующие позиции в развитии современной фармацевтической науки.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 В 2022 году академия отмечает 85-летний юбилей. 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Вот уже шесть лет ПГФА совместно с АНО ДПО «Центр проектов «Переменим», краевой школьной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rtl w:val="false"/>
              </w:rPr>
              <w:t xml:space="preserve">газетой «Перемена-Пермь»,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rtl w:val="false"/>
              </w:rPr>
              <w:t xml:space="preserve">некоммерческим партнёрством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rtl w:val="fals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rtl w:val="false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rtl w:val="false"/>
              </w:rPr>
              <w:t xml:space="preserve">Фармацевты Прикамья</w:t>
            </w:r>
            <w:r>
              <w:rPr>
                <w:rFonts w:ascii="Times New Roman" w:hAnsi="Times New Roman" w:cs="Times New Roman" w:eastAsia="Times New Roman"/>
                <w:sz w:val="22"/>
                <w:szCs w:val="24"/>
                <w:rtl w:val="false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rtl w:val="false"/>
              </w:rPr>
              <w:t xml:space="preserve"> и аптеками «Планета здоровья» и «Пермфармация» реализует профорие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rtl w:val="false"/>
              </w:rPr>
              <w:t xml:space="preserve">нтационный проект д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szCs w:val="24"/>
                <w:rtl w:val="false"/>
              </w:rPr>
              <w:t xml:space="preserve">ля школьников «Аптекари будущего». Проект направлен на популяризацию профессий фармацевтической отрасли, создание школьниками уникальных материалов о данной медицинской сфере и знакомство ребят с компаниями и организациями, представляющими отрасль в крае.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За шесть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лет вокруг проекта сформировалось сообщество школ, которые традиционно включаются во все мероприятия и ориентируют учащихся на поступление в фармацевтическую академию. В рамках проекта применяются различные форматы взаимодействия школьников со специалис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тами: конференции, профпробы, хакатоны и олимпиады. Кроме того, участники проекта создают собственные медиапродукты: видеоролики, медиакомиксы и лонгриды.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На 2022/2023 учебный год разрабатывается online-программа для краевых школ и городская фармацевтическая олимпиада. Для взрослых участников проекта будет проведён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Круглый стол «Кадры в фармации в Пермском крае», посвящённый 85-летию Пермской государственной фармацевтической академии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.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Цель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Эффективная профориентация школьников и повышение популярности профессий фармацевтической отрасли среди старшеклассников г. Перми и Пермского края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Задачи проекта 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jc w:val="both"/>
              <w:spacing w:before="0" w:after="0"/>
              <w:shd w:val="clear" w:color="ffffff" w:fill="ffffff"/>
              <w:tabs>
                <w:tab w:val="left" w:pos="102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Познакомить участников проекта с профессиями фармацевтической отрасли и создать условия для устойчивого спроса на данные профессии среди молодого поколения пермяков;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shd w:val="clear" w:color="ffffff" w:fill="ffffff"/>
              <w:tabs>
                <w:tab w:val="left" w:pos="1021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Организовать работу, направленную на приобретение навыков по каждому из направлений в фармацевтике;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shd w:val="clear" w:color="ffffff" w:fill="ffffff"/>
              <w:tabs>
                <w:tab w:val="left" w:pos="1021" w:leader="none"/>
              </w:tabs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Провести для учащихся школ экскурс в историю развития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 Пермской государственной фармацевтической академии и фармацевтической отрасли в Пермском крае;</w:t>
            </w:r>
            <w:r/>
          </w:p>
          <w:p>
            <w:pPr>
              <w:numPr>
                <w:ilvl w:val="0"/>
                <w:numId w:val="1"/>
              </w:numPr>
              <w:jc w:val="both"/>
              <w:spacing w:before="0" w:after="0"/>
              <w:shd w:val="clear" w:color="ffffff" w:fill="ffffff"/>
              <w:tabs>
                <w:tab w:val="left" w:pos="1021" w:leader="none"/>
              </w:tabs>
              <w:rPr>
                <w:rFonts w:ascii="Times New Roman" w:hAnsi="Times New Roman" w:cs="Times New Roman" w:eastAsia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Создать условия для формирования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у участников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представления о работе аптечных сетей и профильных учебных заведений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Суть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В рамках проекта участники проходят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 четыре модуля:</w:t>
            </w:r>
            <w:r/>
          </w:p>
          <w:p>
            <w:pPr>
              <w:jc w:val="both"/>
              <w:spacing w:before="0" w:after="0"/>
              <w:shd w:val="clear" w:color="ffffff" w:fill="ffffff"/>
              <w:tabs>
                <w:tab w:val="left" w:pos="1588" w:leader="none"/>
              </w:tabs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white"/>
              </w:rPr>
              <w:t xml:space="preserve">Модуль «Словарик фармацевтических профессий»</w:t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В фармацевтике много увлекательных профессий, и лучший способ рассказать о них могут придумать только с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ами школьники! Модуль предполагает, что каж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дый из партнёров проекта предоставит детям возможность взять интервью у представителей фармацевтической отрасли, чтобы ребята смогли создать материалы для сборника «Словарик фармацевтических профессий». Данные материалы будут представлены в виде комиксов. </w:t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white"/>
              </w:rPr>
              <w:t xml:space="preserve">Модуль «Медиасобытия в фармации»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В рамках проекта традиционно проводятся мероприятия, которые объединяют всех участников: и детей, и взрослых. В этом сезоне ребят снова ждут фармацевтические квесты, а также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 походы в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музеи ПГФА и «Аптекарский двор», участие в фармацевтической олимпиаде в школе № 64 г. Перми и экскурсии в аптеки «Планета здоровья» и «Пермфармация». Специальное событие проекта – Круглый стол «Кадры в фармации в Пермском крае», посвящённый 85-летию ПГФА. 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none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  <w:highlight w:val="white"/>
              </w:rPr>
              <w:t xml:space="preserve">Модуль «Фармацевтические профпробы»</w:t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В этом сезоне, как и в предыдущем, для участников проекта будет реализована серия лабораторных работ и профпроб на базе Пермской государственной фармацевтической академии.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</w:r>
            <w:r/>
          </w:p>
          <w:p>
            <w:pPr>
              <w:ind w:left="0" w:firstLine="0"/>
              <w:jc w:val="both"/>
              <w:spacing w:before="0" w:after="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z w:val="22"/>
              </w:rPr>
              <w:t xml:space="preserve">4. Online-модуль для краевых школ 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Про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ект расширяет свои границы и приглашает к участию ребят из школ Пермского края. В этом году учащиеся краевых школ в формате online-игры «Фармацевтический квест» познакомятся с фармацевтической отраслью и увидят презентации ПГФА и других партнёров проекта. 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Партнёры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ФГБОУ ВО «Пермская государственная фармацевтическая академия»;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Некоммерческое партнёрство «Фармацевты Прикамья»;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Аптечная сеть «Пермфармация»;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Аптеки «Планета здоровья»;</w:t>
            </w:r>
            <w:r/>
          </w:p>
          <w:p>
            <w:pPr>
              <w:ind w:left="0" w:right="0" w:firstLine="0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Музей «Аптекарский двор»;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Научно-производственная компания «Эльдария»;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АО «Медисорб»;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Фармацевтические производства г. Перми;</w:t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– Краевая школьная газета «Перемена-Пермь».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62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Этапы реализации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2022 года: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открытие проекта «Аптекари будущего»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октябрь 2022 года: реализация модуля «Словарик фармацевтических профессий»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ноябрь 2022 года: реализация модуля «Фармацевтические профпробы»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Сентябрь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декабрь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2022 года: реализация модуля «Медиасобытия в фармации»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Октябрь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ноябрь 2022 года: реализация Online-модуля для краевых школ</w:t>
            </w:r>
            <w:r/>
          </w:p>
          <w:p>
            <w:pPr>
              <w:ind w:left="0" w:right="0" w:firstLine="0"/>
              <w:jc w:val="both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 </w:t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highlight w:val="no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t xml:space="preserve">Декабрь 2022 года: закрытие проекта «Аптекари будущего»</w:t>
            </w:r>
            <w:r>
              <w:rPr>
                <w:highlight w:val="none"/>
              </w:rPr>
            </w:r>
            <w:r/>
          </w:p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103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Сроки реализации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Сентябрь – Декабрь 2022 года</w:t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Условия участия в проекте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10 школ г. Перми и 5 школ Пермского края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white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 не более 15 участников из 8-10-х классов от каждой школы (всего 220 участников) и 1 педагог-куратор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  <w:r/>
          </w:p>
        </w:tc>
      </w:tr>
      <w:tr>
        <w:trPr>
          <w:cantSplit w:val="false"/>
          <w:trHeight w:val="1191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Руководитель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Иван Бусыгин, руководитель проекта 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Тел.: +7 (964) 193-99-64 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Эл. почта: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k.peremenam@mail.ru</w:t>
            </w:r>
            <w:r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</w:r>
            <w:r/>
          </w:p>
        </w:tc>
      </w:tr>
      <w:tr>
        <w:trPr>
          <w:cantSplit w:val="false"/>
          <w:trHeight w:val="1008"/>
        </w:trPr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cs="Times New Roman" w:eastAsia="Times New Roman"/>
                <w:b w:val="0"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cs="Times New Roman" w:eastAsia="Times New Roman"/>
                <w:b/>
                <w:i w:val="0"/>
                <w:smallCaps w:val="0"/>
                <w:strike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rtl w:val="false"/>
              </w:rPr>
              <w:t xml:space="preserve">Контактная группа проекта</w:t>
            </w: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Елизавета Коротких, руководитель отдела проектов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Тел.: +7 (965) 557-07-93</w:t>
            </w:r>
            <w:r>
              <w:rPr>
                <w:rFonts w:ascii="Times New Roman" w:hAnsi="Times New Roman" w:cs="Times New Roman" w:eastAsia="Times New Roman"/>
                <w:color w:val="00000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  <w:t xml:space="preserve">Эл. почта: 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</w:rPr>
            </w:r>
            <w:hyperlink r:id="rId12" w:tooltip="mailto:k.peremenam@mail.ru" w:history="1">
              <w:r>
                <w:rPr>
                  <w:rStyle w:val="836"/>
                  <w:rFonts w:ascii="Times New Roman" w:hAnsi="Times New Roman" w:cs="Times New Roman" w:eastAsia="Times New Roman"/>
                  <w:sz w:val="22"/>
                </w:rPr>
                <w:t xml:space="preserve">k.peremenam@mail.ru</w:t>
              </w:r>
              <w:r>
                <w:rPr>
                  <w:rStyle w:val="836"/>
                  <w:rFonts w:ascii="Times New Roman" w:hAnsi="Times New Roman" w:cs="Times New Roman" w:eastAsia="Times New Roman"/>
                  <w:b w:val="0"/>
                  <w:i w:val="0"/>
                  <w:smallCaps w:val="0"/>
                  <w:strike w:val="false"/>
                  <w:sz w:val="22"/>
                  <w:szCs w:val="22"/>
                  <w:shd w:val="clear" w:color="auto" w:fill="auto"/>
                  <w:vertAlign w:val="baseline"/>
                  <w:rtl w:val="false"/>
                </w:rPr>
              </w:r>
              <w:r>
                <w:rPr>
                  <w:rStyle w:val="836"/>
                </w:rPr>
              </w:r>
            </w:hyperlink>
            <w:r/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Михаил Быков, менеджер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Тел.: </w:t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+7 (902) 805-08-20</w:t>
            </w:r>
            <w:r>
              <w:rPr>
                <w:b w:val="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Ольга Смирнова, старший менеджер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Тел.: +7 (951) 938-22-38</w:t>
            </w:r>
            <w:r>
              <w:rPr>
                <w:b w:val="0"/>
                <w:sz w:val="22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Оксана Дробченко, руководитель отдела развития</w:t>
            </w:r>
            <w:r/>
          </w:p>
          <w:p>
            <w:pPr>
              <w:ind w:left="0" w:right="0" w:firstLine="0"/>
              <w:jc w:val="both"/>
              <w:spacing w:before="0" w:after="0"/>
              <w:rPr>
                <w:b w:val="0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 w:val="0"/>
                <w:color w:val="000000"/>
                <w:sz w:val="22"/>
                <w:highlight w:val="none"/>
              </w:rPr>
              <w:t xml:space="preserve">Тел.: +7 (908) 278-18-85</w:t>
            </w:r>
            <w:r>
              <w:rPr>
                <w:rFonts w:ascii="Times New Roman" w:hAnsi="Times New Roman" w:cs="Times New Roman" w:eastAsia="Times New Roman"/>
                <w:color w:val="000000"/>
                <w:sz w:val="22"/>
                <w:highlight w:val="none"/>
              </w:rPr>
            </w:r>
            <w:r/>
          </w:p>
        </w:tc>
      </w:tr>
    </w:tbl>
    <w:p>
      <w:pPr>
        <w:ind w:left="0" w:right="0" w:firstLine="0"/>
        <w:jc w:val="left"/>
        <w:keepLines w:val="0"/>
        <w:keepNext w:val="0"/>
        <w:spacing w:before="0" w:after="200" w:line="276" w:lineRule="auto"/>
        <w:shd w:val="clear" w:color="auto" w:fill="auto"/>
        <w:widowControl/>
        <w:rPr>
          <w:rFonts w:ascii="Calibri" w:hAnsi="Calibri" w:cs="Calibri" w:eastAsia="Calibri"/>
          <w:b w:val="0"/>
          <w:i w:val="0"/>
          <w:smallCaps w:val="0"/>
          <w:strike w:val="false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993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2"/>
      </w:rPr>
      <w:t xml:space="preserve">Руководитель проекта: Иван Бусыгин, тел. 8 964 193 99 64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cs="Times New Roman" w:eastAsia="Times New Roman"/>
        <w:color w:val="000000"/>
        <w:sz w:val="24"/>
      </w:rPr>
      <w:t xml:space="preserve">Краевая школьная газета «Перемена-Пермь»</w:t>
    </w:r>
    <w:r/>
  </w:p>
  <w:p>
    <w:pPr>
      <w:ind w:left="0" w:right="0" w:firstLine="0"/>
      <w:jc w:val="right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cs="Times New Roman" w:eastAsia="Times New Roman"/>
        <w:color w:val="404040"/>
        <w:sz w:val="24"/>
      </w:rPr>
      <w:t xml:space="preserve">Фестиваль «Пермь Профессиональная 2022»</w:t>
    </w:r>
    <w:r>
      <w:rPr>
        <w:sz w:val="22"/>
        <w:szCs w:val="22"/>
        <w:rtl w:val="fals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link w:val="856"/>
    <w:uiPriority w:val="9"/>
    <w:rPr>
      <w:rFonts w:ascii="Arial" w:hAnsi="Arial" w:cs="Arial" w:eastAsia="Arial"/>
      <w:sz w:val="40"/>
      <w:szCs w:val="40"/>
    </w:rPr>
  </w:style>
  <w:style w:type="character" w:styleId="684">
    <w:name w:val="Heading 2 Char"/>
    <w:link w:val="857"/>
    <w:uiPriority w:val="9"/>
    <w:rPr>
      <w:rFonts w:ascii="Arial" w:hAnsi="Arial" w:cs="Arial" w:eastAsia="Arial"/>
      <w:sz w:val="34"/>
    </w:rPr>
  </w:style>
  <w:style w:type="character" w:styleId="685">
    <w:name w:val="Heading 3 Char"/>
    <w:link w:val="858"/>
    <w:uiPriority w:val="9"/>
    <w:rPr>
      <w:rFonts w:ascii="Arial" w:hAnsi="Arial" w:cs="Arial" w:eastAsia="Arial"/>
      <w:sz w:val="30"/>
      <w:szCs w:val="30"/>
    </w:rPr>
  </w:style>
  <w:style w:type="character" w:styleId="686">
    <w:name w:val="Heading 4 Char"/>
    <w:link w:val="859"/>
    <w:uiPriority w:val="9"/>
    <w:rPr>
      <w:rFonts w:ascii="Arial" w:hAnsi="Arial" w:cs="Arial" w:eastAsia="Arial"/>
      <w:b/>
      <w:bCs/>
      <w:sz w:val="26"/>
      <w:szCs w:val="26"/>
    </w:rPr>
  </w:style>
  <w:style w:type="character" w:styleId="687">
    <w:name w:val="Heading 5 Char"/>
    <w:link w:val="860"/>
    <w:uiPriority w:val="9"/>
    <w:rPr>
      <w:rFonts w:ascii="Arial" w:hAnsi="Arial" w:cs="Arial" w:eastAsia="Arial"/>
      <w:b/>
      <w:bCs/>
      <w:sz w:val="24"/>
      <w:szCs w:val="24"/>
    </w:rPr>
  </w:style>
  <w:style w:type="character" w:styleId="688">
    <w:name w:val="Heading 6 Char"/>
    <w:link w:val="861"/>
    <w:uiPriority w:val="9"/>
    <w:rPr>
      <w:rFonts w:ascii="Arial" w:hAnsi="Arial" w:cs="Arial" w:eastAsia="Arial"/>
      <w:b/>
      <w:bCs/>
      <w:sz w:val="22"/>
      <w:szCs w:val="22"/>
    </w:rPr>
  </w:style>
  <w:style w:type="paragraph" w:styleId="689">
    <w:name w:val="Heading 7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1">
    <w:name w:val="Heading 8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cs="Arial" w:eastAsia="Arial"/>
      <w:i/>
      <w:iCs/>
      <w:sz w:val="22"/>
      <w:szCs w:val="22"/>
    </w:rPr>
  </w:style>
  <w:style w:type="paragraph" w:styleId="693">
    <w:name w:val="Heading 9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cs="Arial" w:eastAsia="Arial"/>
      <w:i/>
      <w:iCs/>
      <w:sz w:val="21"/>
      <w:szCs w:val="21"/>
    </w:rPr>
  </w:style>
  <w:style w:type="paragraph" w:styleId="695">
    <w:name w:val="List Paragraph"/>
    <w:basedOn w:val="854"/>
    <w:uiPriority w:val="34"/>
    <w:qFormat/>
    <w:pPr>
      <w:contextualSpacing/>
      <w:ind w:left="720"/>
    </w:pPr>
  </w:style>
  <w:style w:type="table" w:styleId="69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7">
    <w:name w:val="No Spacing"/>
    <w:uiPriority w:val="1"/>
    <w:qFormat/>
    <w:pPr>
      <w:spacing w:before="0" w:after="0" w:line="240" w:lineRule="auto"/>
    </w:pPr>
  </w:style>
  <w:style w:type="character" w:styleId="698">
    <w:name w:val="Title Char"/>
    <w:link w:val="862"/>
    <w:uiPriority w:val="10"/>
    <w:rPr>
      <w:sz w:val="48"/>
      <w:szCs w:val="48"/>
    </w:rPr>
  </w:style>
  <w:style w:type="character" w:styleId="699">
    <w:name w:val="Subtitle Char"/>
    <w:link w:val="873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basedOn w:val="6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6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6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6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</w:style>
  <w:style w:type="table" w:styleId="855" w:default="1">
    <w:name w:val="Table Normal"/>
    <w:tblPr/>
  </w:style>
  <w:style w:type="paragraph" w:styleId="856">
    <w:name w:val="Heading 1"/>
    <w:basedOn w:val="854"/>
    <w:next w:val="854"/>
    <w:pPr>
      <w:keepLines/>
      <w:keepNext/>
      <w:spacing w:before="480" w:after="120"/>
    </w:pPr>
    <w:rPr>
      <w:b/>
      <w:sz w:val="48"/>
      <w:szCs w:val="48"/>
    </w:rPr>
  </w:style>
  <w:style w:type="paragraph" w:styleId="857">
    <w:name w:val="Heading 2"/>
    <w:basedOn w:val="854"/>
    <w:next w:val="854"/>
    <w:pPr>
      <w:keepLines/>
      <w:keepNext/>
      <w:spacing w:before="360" w:after="80"/>
    </w:pPr>
    <w:rPr>
      <w:b/>
      <w:sz w:val="36"/>
      <w:szCs w:val="36"/>
    </w:rPr>
  </w:style>
  <w:style w:type="paragraph" w:styleId="858">
    <w:name w:val="Heading 3"/>
    <w:basedOn w:val="854"/>
    <w:next w:val="854"/>
    <w:pPr>
      <w:keepLines/>
      <w:keepNext/>
      <w:spacing w:before="280" w:after="80"/>
    </w:pPr>
    <w:rPr>
      <w:b/>
      <w:sz w:val="28"/>
      <w:szCs w:val="28"/>
    </w:rPr>
  </w:style>
  <w:style w:type="paragraph" w:styleId="859">
    <w:name w:val="Heading 4"/>
    <w:basedOn w:val="854"/>
    <w:next w:val="854"/>
    <w:pPr>
      <w:keepLines/>
      <w:keepNext/>
      <w:spacing w:before="240" w:after="40"/>
    </w:pPr>
    <w:rPr>
      <w:b/>
      <w:sz w:val="24"/>
      <w:szCs w:val="24"/>
    </w:rPr>
  </w:style>
  <w:style w:type="paragraph" w:styleId="860">
    <w:name w:val="Heading 5"/>
    <w:basedOn w:val="854"/>
    <w:next w:val="854"/>
    <w:pPr>
      <w:keepLines/>
      <w:keepNext/>
      <w:spacing w:before="220" w:after="40"/>
    </w:pPr>
    <w:rPr>
      <w:b/>
      <w:sz w:val="22"/>
      <w:szCs w:val="22"/>
    </w:rPr>
  </w:style>
  <w:style w:type="paragraph" w:styleId="861">
    <w:name w:val="Heading 6"/>
    <w:basedOn w:val="854"/>
    <w:next w:val="854"/>
    <w:pPr>
      <w:keepLines/>
      <w:keepNext/>
      <w:spacing w:before="200" w:after="40"/>
    </w:pPr>
    <w:rPr>
      <w:b/>
      <w:sz w:val="20"/>
      <w:szCs w:val="20"/>
    </w:rPr>
  </w:style>
  <w:style w:type="paragraph" w:styleId="862">
    <w:name w:val="Title"/>
    <w:basedOn w:val="854"/>
    <w:next w:val="854"/>
    <w:pPr>
      <w:keepLines/>
      <w:keepNext/>
      <w:spacing w:before="480" w:after="120"/>
    </w:pPr>
    <w:rPr>
      <w:b/>
      <w:sz w:val="72"/>
      <w:szCs w:val="72"/>
    </w:rPr>
  </w:style>
  <w:style w:type="paragraph" w:styleId="863">
    <w:name w:val="Обычный"/>
    <w:next w:val="863"/>
    <w:hidden val="false"/>
    <w:qFormat val="false"/>
    <w:pPr>
      <w:spacing w:after="200" w:line="276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character" w:styleId="864">
    <w:name w:val="Основной шрифт абзаца"/>
    <w:next w:val="864"/>
    <w:hidden val="false"/>
    <w:qFormat/>
    <w:rPr>
      <w:position w:val="-1"/>
      <w:vertAlign w:val="baseline"/>
      <w:cs w:val="false"/>
    </w:rPr>
  </w:style>
  <w:style w:type="table" w:styleId="865">
    <w:name w:val="Обычная таблица"/>
    <w:next w:val="865"/>
    <w:hidden val="false"/>
    <w:qFormat/>
    <w:pPr>
      <w:spacing w:line="1" w:lineRule="atLeast"/>
      <w:outlineLvl w:val="0"/>
    </w:pPr>
    <w:rPr>
      <w:position w:val="-1"/>
      <w:vertAlign w:val="baseline"/>
      <w:cs w:val="false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>
    <w:name w:val="Нет списка"/>
    <w:next w:val="866"/>
    <w:hidden val="false"/>
    <w:qFormat/>
    <w:pPr>
      <w:spacing w:line="1" w:lineRule="atLeast"/>
      <w:outlineLvl w:val="0"/>
    </w:pPr>
  </w:style>
  <w:style w:type="table" w:styleId="867">
    <w:name w:val="Сетка таблицы"/>
    <w:basedOn w:val="865"/>
    <w:next w:val="867"/>
    <w:hidden val="false"/>
    <w:qFormat val="false"/>
    <w:pPr>
      <w:spacing w:after="0" w:line="240" w:lineRule="auto"/>
      <w:outlineLvl w:val="0"/>
    </w:pPr>
    <w:rPr>
      <w:position w:val="-1"/>
      <w:vertAlign w:val="baseline"/>
      <w:cs w:val="fals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>
    <w:name w:val="Абзац списка"/>
    <w:basedOn w:val="863"/>
    <w:next w:val="868"/>
    <w:hidden val="false"/>
    <w:qFormat val="false"/>
    <w:pPr>
      <w:contextualSpacing/>
      <w:ind w:left="720"/>
      <w:spacing w:after="200" w:line="276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paragraph" w:styleId="869">
    <w:name w:val="Верхний колонтитул"/>
    <w:basedOn w:val="863"/>
    <w:next w:val="869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character" w:styleId="870">
    <w:name w:val="Верхний колонтитул Знак"/>
    <w:basedOn w:val="864"/>
    <w:next w:val="870"/>
    <w:hidden val="false"/>
    <w:qFormat val="false"/>
    <w:rPr>
      <w:position w:val="-1"/>
      <w:vertAlign w:val="baseline"/>
      <w:cs w:val="false"/>
    </w:rPr>
  </w:style>
  <w:style w:type="paragraph" w:styleId="871">
    <w:name w:val="Нижний колонтитул"/>
    <w:basedOn w:val="863"/>
    <w:next w:val="871"/>
    <w:hidden val="false"/>
    <w:qFormat/>
    <w:pPr>
      <w:spacing w:after="0" w:line="240" w:lineRule="auto"/>
      <w:outlineLvl w:val="0"/>
    </w:pPr>
    <w:rPr>
      <w:position w:val="-1"/>
      <w:sz w:val="22"/>
      <w:szCs w:val="22"/>
      <w:vertAlign w:val="baseline"/>
      <w:cs w:val="false"/>
      <w:lang w:val="ru-RU" w:bidi="ar-SA" w:eastAsia="en-US"/>
    </w:rPr>
  </w:style>
  <w:style w:type="character" w:styleId="872">
    <w:name w:val="Нижний колонтитул Знак"/>
    <w:basedOn w:val="864"/>
    <w:next w:val="872"/>
    <w:hidden val="false"/>
    <w:qFormat val="false"/>
    <w:rPr>
      <w:position w:val="-1"/>
      <w:vertAlign w:val="baseline"/>
      <w:cs w:val="false"/>
    </w:rPr>
  </w:style>
  <w:style w:type="paragraph" w:styleId="873">
    <w:name w:val="Subtitle"/>
    <w:basedOn w:val="854"/>
    <w:next w:val="854"/>
    <w:pPr>
      <w:keepLines/>
      <w:keepNext/>
      <w:spacing w:before="360" w:after="80"/>
    </w:pPr>
    <w:rPr>
      <w:rFonts w:ascii="Georgia" w:hAnsi="Georgia" w:cs="Georgia" w:eastAsia="Georgia"/>
      <w:i/>
      <w:color w:val="666666"/>
      <w:sz w:val="48"/>
      <w:szCs w:val="48"/>
    </w:rPr>
  </w:style>
  <w:style w:type="table" w:styleId="874">
    <w:name w:val="StGen0"/>
    <w:basedOn w:val="85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mailto:k.peremenam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Перемена Пермь</cp:lastModifiedBy>
  <cp:revision>17</cp:revision>
  <dcterms:created xsi:type="dcterms:W3CDTF">2019-08-06T05:59:00Z</dcterms:created>
  <dcterms:modified xsi:type="dcterms:W3CDTF">2022-09-12T11:47:54Z</dcterms:modified>
</cp:coreProperties>
</file>